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Formal Stage 2 -  Complaint heard by the Complaints Panel 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Child’ 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Year Group: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Date complaint received: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Date of meeting: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Complainant's name and relationship: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after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3c4043"/>
                <w:highlight w:val="white"/>
                <w:rtl w:val="0"/>
              </w:rPr>
              <w:t xml:space="preserve">Please give concise details of your complaint. School will use these to investigate the matter. Include dates, names of people involved, witnesses, etc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after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Montserrat" w:cs="Montserrat" w:eastAsia="Montserrat" w:hAnsi="Montserrat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highlight w:val="white"/>
                <w:rtl w:val="0"/>
              </w:rPr>
              <w:t xml:space="preserve">Please provide reasons why you believe your complaint(s) have not been resolved satisfactorily under the previous two stages of the policy.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Montserrat" w:cs="Montserrat" w:eastAsia="Montserrat" w:hAnsi="Montserrat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after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after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Please state the resolution that you are seeking.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Are you attaching any additional paperwork? If so please provide details.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240" w:before="240" w:lineRule="auto"/>
        <w:rPr>
          <w:rFonts w:ascii="Montserrat" w:cs="Montserrat" w:eastAsia="Montserrat" w:hAnsi="Montserrat"/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center"/>
        <w:rPr>
          <w:rFonts w:ascii="Montserrat" w:cs="Montserrat" w:eastAsia="Montserrat" w:hAnsi="Montserrat"/>
          <w:b w:val="1"/>
          <w:color w:val="99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